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C4" w:rsidRPr="00CB02DA" w:rsidRDefault="00CD7EC4" w:rsidP="0095459A">
      <w:pPr>
        <w:shd w:val="clear" w:color="auto" w:fill="FFFFFF"/>
        <w:spacing w:after="0"/>
        <w:jc w:val="center"/>
        <w:textAlignment w:val="baseline"/>
        <w:rPr>
          <w:rFonts w:ascii="Times New Roman" w:hAnsi="Times New Roman"/>
          <w:sz w:val="28"/>
          <w:szCs w:val="28"/>
          <w:lang w:val="uk-UA"/>
        </w:rPr>
      </w:pPr>
      <w:r w:rsidRPr="00CB02DA">
        <w:rPr>
          <w:rFonts w:ascii="Times New Roman" w:hAnsi="Times New Roman"/>
          <w:b/>
          <w:bCs/>
          <w:sz w:val="28"/>
          <w:szCs w:val="28"/>
          <w:lang w:val="uk-UA"/>
        </w:rPr>
        <w:t>ПОЯСНЮВАЛЬНА ЗАПИСКА</w:t>
      </w:r>
    </w:p>
    <w:p w:rsidR="00CD7EC4" w:rsidRPr="00CB02DA" w:rsidRDefault="00CD7EC4" w:rsidP="0095459A">
      <w:pPr>
        <w:shd w:val="clear" w:color="auto" w:fill="FFFFFF"/>
        <w:spacing w:after="0"/>
        <w:jc w:val="center"/>
        <w:textAlignment w:val="baseline"/>
        <w:rPr>
          <w:rFonts w:ascii="Times New Roman" w:hAnsi="Times New Roman"/>
          <w:sz w:val="28"/>
          <w:szCs w:val="28"/>
          <w:lang w:val="uk-UA"/>
        </w:rPr>
      </w:pPr>
      <w:r w:rsidRPr="00CB02DA">
        <w:rPr>
          <w:rFonts w:ascii="Times New Roman" w:hAnsi="Times New Roman"/>
          <w:bCs/>
          <w:sz w:val="28"/>
          <w:szCs w:val="28"/>
          <w:lang w:val="uk-UA"/>
        </w:rPr>
        <w:t xml:space="preserve">до звіту </w:t>
      </w:r>
      <w:r>
        <w:rPr>
          <w:rFonts w:ascii="Times New Roman" w:hAnsi="Times New Roman"/>
          <w:bCs/>
          <w:sz w:val="28"/>
          <w:szCs w:val="28"/>
          <w:lang w:val="uk-UA"/>
        </w:rPr>
        <w:t>про виконання фінансового плану</w:t>
      </w:r>
      <w:r w:rsidRPr="00CB02DA">
        <w:rPr>
          <w:rFonts w:ascii="Times New Roman" w:hAnsi="Times New Roman"/>
          <w:bCs/>
          <w:sz w:val="28"/>
          <w:szCs w:val="28"/>
          <w:lang w:val="uk-UA"/>
        </w:rPr>
        <w:t xml:space="preserve"> за </w:t>
      </w:r>
      <w:r>
        <w:rPr>
          <w:rFonts w:ascii="Times New Roman" w:hAnsi="Times New Roman"/>
          <w:bCs/>
          <w:sz w:val="28"/>
          <w:szCs w:val="28"/>
          <w:lang w:val="uk-UA"/>
        </w:rPr>
        <w:t>перше</w:t>
      </w:r>
      <w:r w:rsidRPr="00CB02DA">
        <w:rPr>
          <w:rFonts w:ascii="Times New Roman" w:hAnsi="Times New Roman"/>
          <w:bCs/>
          <w:sz w:val="28"/>
          <w:szCs w:val="28"/>
          <w:lang w:val="uk-UA"/>
        </w:rPr>
        <w:t xml:space="preserve"> півріччя 2019 року</w:t>
      </w:r>
    </w:p>
    <w:p w:rsidR="00CD7EC4" w:rsidRPr="00CB02DA" w:rsidRDefault="00CD7EC4" w:rsidP="0095459A">
      <w:pPr>
        <w:shd w:val="clear" w:color="auto" w:fill="FFFFFF"/>
        <w:spacing w:after="0"/>
        <w:jc w:val="center"/>
        <w:textAlignment w:val="baseline"/>
        <w:rPr>
          <w:rFonts w:ascii="Times New Roman" w:hAnsi="Times New Roman"/>
          <w:sz w:val="28"/>
          <w:szCs w:val="28"/>
          <w:lang w:val="uk-UA"/>
        </w:rPr>
      </w:pPr>
      <w:r w:rsidRPr="00CB02DA">
        <w:rPr>
          <w:rFonts w:ascii="Times New Roman" w:hAnsi="Times New Roman"/>
          <w:bCs/>
          <w:sz w:val="28"/>
          <w:szCs w:val="28"/>
          <w:lang w:val="uk-UA"/>
        </w:rPr>
        <w:t>комунального підприємства Н</w:t>
      </w:r>
      <w:r>
        <w:rPr>
          <w:rFonts w:ascii="Times New Roman" w:hAnsi="Times New Roman"/>
          <w:bCs/>
          <w:sz w:val="28"/>
          <w:szCs w:val="28"/>
          <w:lang w:val="uk-UA"/>
        </w:rPr>
        <w:t>МР «Агенція місцевого розвитку»</w:t>
      </w:r>
    </w:p>
    <w:p w:rsidR="00CD7EC4" w:rsidRPr="00CB02DA" w:rsidRDefault="00CD7EC4" w:rsidP="0095459A">
      <w:pPr>
        <w:spacing w:after="0"/>
        <w:ind w:firstLine="567"/>
        <w:jc w:val="both"/>
        <w:rPr>
          <w:rFonts w:ascii="Times New Roman" w:hAnsi="Times New Roman"/>
          <w:sz w:val="28"/>
          <w:szCs w:val="28"/>
          <w:lang w:val="uk-UA"/>
        </w:rPr>
      </w:pPr>
    </w:p>
    <w:p w:rsidR="00CD7EC4" w:rsidRDefault="00CD7EC4" w:rsidP="00CB02DA">
      <w:pPr>
        <w:spacing w:after="0"/>
        <w:ind w:firstLine="708"/>
        <w:jc w:val="both"/>
        <w:rPr>
          <w:rFonts w:ascii="Times New Roman" w:hAnsi="Times New Roman"/>
          <w:sz w:val="28"/>
          <w:szCs w:val="28"/>
          <w:lang w:val="uk-UA"/>
        </w:rPr>
      </w:pPr>
      <w:r w:rsidRPr="00CB02DA">
        <w:rPr>
          <w:rFonts w:ascii="Times New Roman" w:hAnsi="Times New Roman"/>
          <w:sz w:val="28"/>
          <w:szCs w:val="28"/>
          <w:lang w:val="uk-UA"/>
        </w:rPr>
        <w:t>КП НМР «Агенція місцевого розвитку» здійснює свою діяльність згідно статуту, який був затверджений рішенням четвертої сесії Нетішинської міської ради VII скликання від 23 грудня 2015 року № 4/75. А також, діє в рамках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p w:rsidR="00CD7EC4" w:rsidRDefault="00CD7EC4" w:rsidP="00CB02DA">
      <w:pPr>
        <w:spacing w:after="0"/>
        <w:ind w:firstLine="708"/>
        <w:jc w:val="both"/>
        <w:rPr>
          <w:rFonts w:ascii="Times New Roman" w:hAnsi="Times New Roman"/>
          <w:sz w:val="28"/>
          <w:szCs w:val="28"/>
          <w:lang w:val="uk-UA"/>
        </w:rPr>
      </w:pPr>
      <w:r w:rsidRPr="00CB02DA">
        <w:rPr>
          <w:rFonts w:ascii="Times New Roman" w:hAnsi="Times New Roman"/>
          <w:sz w:val="28"/>
          <w:szCs w:val="28"/>
          <w:lang w:val="uk-UA"/>
        </w:rPr>
        <w:t>Підприємство засноване на комунальній формі власності територіальної громади міста Нетішин і входить до сфери управління Нетішинської міської ради, діє відповідно до Господарського кодексу України, Цивільного кодексу України, інших нормативно - правових актів.</w:t>
      </w:r>
    </w:p>
    <w:p w:rsidR="00CD7EC4" w:rsidRPr="00CB02DA" w:rsidRDefault="00CD7EC4" w:rsidP="00CB02DA">
      <w:pPr>
        <w:spacing w:after="0"/>
        <w:ind w:firstLine="708"/>
        <w:jc w:val="both"/>
        <w:rPr>
          <w:rFonts w:ascii="Times New Roman" w:hAnsi="Times New Roman"/>
          <w:sz w:val="28"/>
          <w:szCs w:val="28"/>
          <w:lang w:val="uk-UA"/>
        </w:rPr>
      </w:pPr>
      <w:r w:rsidRPr="00CB02DA">
        <w:rPr>
          <w:rFonts w:ascii="Times New Roman" w:hAnsi="Times New Roman"/>
          <w:sz w:val="28"/>
          <w:szCs w:val="28"/>
          <w:lang w:val="uk-UA"/>
        </w:rPr>
        <w:t>У діяльності підприємства на 2019 рік плануються та спостерігаються наступні фінансові показники, а саме:</w:t>
      </w:r>
    </w:p>
    <w:p w:rsidR="00CD7EC4" w:rsidRPr="00CB02DA" w:rsidRDefault="00CD7EC4" w:rsidP="00F479A7">
      <w:pPr>
        <w:spacing w:after="0"/>
        <w:rPr>
          <w:rFonts w:ascii="Times New Roman" w:hAnsi="Times New Roman"/>
          <w:b/>
          <w:sz w:val="28"/>
          <w:szCs w:val="28"/>
          <w:lang w:val="uk-UA"/>
        </w:rPr>
      </w:pPr>
    </w:p>
    <w:p w:rsidR="00CD7EC4" w:rsidRPr="00CB02DA" w:rsidRDefault="00CD7EC4" w:rsidP="0095459A">
      <w:pPr>
        <w:spacing w:after="0"/>
        <w:rPr>
          <w:rFonts w:ascii="Times New Roman" w:hAnsi="Times New Roman"/>
          <w:sz w:val="28"/>
          <w:szCs w:val="28"/>
          <w:lang w:val="uk-UA"/>
        </w:rPr>
      </w:pPr>
      <w:r w:rsidRPr="00CB02DA">
        <w:rPr>
          <w:rFonts w:ascii="Times New Roman" w:hAnsi="Times New Roman"/>
          <w:b/>
          <w:sz w:val="28"/>
          <w:szCs w:val="28"/>
          <w:lang w:val="uk-UA"/>
        </w:rPr>
        <w:t>ДОХОДИ:</w:t>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sidRPr="00CB02DA">
        <w:rPr>
          <w:rFonts w:ascii="Times New Roman" w:hAnsi="Times New Roman"/>
          <w:b/>
          <w:sz w:val="28"/>
          <w:szCs w:val="28"/>
          <w:lang w:val="uk-UA"/>
        </w:rPr>
        <w:tab/>
      </w:r>
      <w:r>
        <w:rPr>
          <w:rFonts w:ascii="Times New Roman" w:hAnsi="Times New Roman"/>
          <w:sz w:val="28"/>
          <w:szCs w:val="28"/>
          <w:lang w:val="uk-UA"/>
        </w:rPr>
        <w:t>тис.</w:t>
      </w:r>
      <w:r w:rsidRPr="00CB02DA">
        <w:rPr>
          <w:rFonts w:ascii="Times New Roman" w:hAnsi="Times New Roman"/>
          <w:sz w:val="28"/>
          <w:szCs w:val="28"/>
          <w:lang w:val="uk-UA"/>
        </w:rPr>
        <w:t>грн.</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6775"/>
        <w:gridCol w:w="1134"/>
        <w:gridCol w:w="1176"/>
      </w:tblGrid>
      <w:tr w:rsidR="00CD7EC4" w:rsidRPr="00D43ED1" w:rsidTr="00CB02DA">
        <w:trPr>
          <w:trHeight w:val="20"/>
        </w:trPr>
        <w:tc>
          <w:tcPr>
            <w:tcW w:w="574" w:type="dxa"/>
          </w:tcPr>
          <w:p w:rsidR="00CD7EC4" w:rsidRPr="00CB02DA"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 з/п</w:t>
            </w:r>
          </w:p>
        </w:tc>
        <w:tc>
          <w:tcPr>
            <w:tcW w:w="6775" w:type="dxa"/>
          </w:tcPr>
          <w:p w:rsidR="00CD7EC4" w:rsidRPr="00CB02DA"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Стаття доходів</w:t>
            </w:r>
          </w:p>
        </w:tc>
        <w:tc>
          <w:tcPr>
            <w:tcW w:w="1134" w:type="dxa"/>
          </w:tcPr>
          <w:p w:rsidR="00CD7EC4"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 xml:space="preserve">План </w:t>
            </w:r>
          </w:p>
          <w:p w:rsidR="00CD7EC4" w:rsidRPr="00CB02DA"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І півріччя 2019 року</w:t>
            </w:r>
          </w:p>
        </w:tc>
        <w:tc>
          <w:tcPr>
            <w:tcW w:w="1176" w:type="dxa"/>
          </w:tcPr>
          <w:p w:rsidR="00CD7EC4"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 xml:space="preserve">Факт </w:t>
            </w:r>
          </w:p>
          <w:p w:rsidR="00CD7EC4" w:rsidRPr="00CB02DA"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І півріччя 2019 року</w:t>
            </w:r>
          </w:p>
        </w:tc>
      </w:tr>
      <w:tr w:rsidR="00CD7EC4" w:rsidRPr="00D43ED1" w:rsidTr="00CB02DA">
        <w:trPr>
          <w:trHeight w:val="20"/>
        </w:trPr>
        <w:tc>
          <w:tcPr>
            <w:tcW w:w="574" w:type="dxa"/>
          </w:tcPr>
          <w:p w:rsidR="00CD7EC4" w:rsidRPr="00CB02DA"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1</w:t>
            </w:r>
            <w:r>
              <w:rPr>
                <w:rFonts w:ascii="Times New Roman" w:hAnsi="Times New Roman"/>
                <w:sz w:val="26"/>
                <w:szCs w:val="26"/>
                <w:lang w:val="uk-UA"/>
              </w:rPr>
              <w:t>.</w:t>
            </w:r>
          </w:p>
        </w:tc>
        <w:tc>
          <w:tcPr>
            <w:tcW w:w="6775" w:type="dxa"/>
          </w:tcPr>
          <w:p w:rsidR="00CD7EC4" w:rsidRPr="00CB02DA" w:rsidRDefault="00CD7EC4" w:rsidP="0095459A">
            <w:pPr>
              <w:tabs>
                <w:tab w:val="left" w:pos="709"/>
              </w:tabs>
              <w:spacing w:after="0"/>
              <w:jc w:val="both"/>
              <w:rPr>
                <w:rFonts w:ascii="Times New Roman" w:hAnsi="Times New Roman"/>
                <w:sz w:val="26"/>
                <w:szCs w:val="26"/>
                <w:lang w:val="uk-UA"/>
              </w:rPr>
            </w:pPr>
            <w:r w:rsidRPr="00CB02DA">
              <w:rPr>
                <w:rFonts w:ascii="Times New Roman" w:hAnsi="Times New Roman"/>
                <w:sz w:val="26"/>
                <w:szCs w:val="26"/>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tc>
        <w:tc>
          <w:tcPr>
            <w:tcW w:w="1134"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451,0</w:t>
            </w:r>
          </w:p>
        </w:tc>
        <w:tc>
          <w:tcPr>
            <w:tcW w:w="1176"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303,50</w:t>
            </w:r>
          </w:p>
        </w:tc>
      </w:tr>
      <w:tr w:rsidR="00CD7EC4" w:rsidRPr="00D43ED1" w:rsidTr="00CB02DA">
        <w:trPr>
          <w:trHeight w:val="20"/>
        </w:trPr>
        <w:tc>
          <w:tcPr>
            <w:tcW w:w="574" w:type="dxa"/>
          </w:tcPr>
          <w:p w:rsidR="00CD7EC4" w:rsidRPr="00CB02DA" w:rsidRDefault="00CD7EC4" w:rsidP="00CB02DA">
            <w:pPr>
              <w:spacing w:after="0"/>
              <w:ind w:left="-108" w:right="-118"/>
              <w:jc w:val="center"/>
              <w:rPr>
                <w:rFonts w:ascii="Times New Roman" w:hAnsi="Times New Roman"/>
                <w:sz w:val="26"/>
                <w:szCs w:val="26"/>
                <w:lang w:val="uk-UA"/>
              </w:rPr>
            </w:pPr>
            <w:r w:rsidRPr="00CB02DA">
              <w:rPr>
                <w:rFonts w:ascii="Times New Roman" w:hAnsi="Times New Roman"/>
                <w:sz w:val="26"/>
                <w:szCs w:val="26"/>
                <w:lang w:val="uk-UA"/>
              </w:rPr>
              <w:t>2</w:t>
            </w:r>
            <w:r>
              <w:rPr>
                <w:rFonts w:ascii="Times New Roman" w:hAnsi="Times New Roman"/>
                <w:sz w:val="26"/>
                <w:szCs w:val="26"/>
                <w:lang w:val="uk-UA"/>
              </w:rPr>
              <w:t>.</w:t>
            </w:r>
          </w:p>
        </w:tc>
        <w:tc>
          <w:tcPr>
            <w:tcW w:w="6775" w:type="dxa"/>
          </w:tcPr>
          <w:p w:rsidR="00CD7EC4" w:rsidRPr="00CB02DA" w:rsidRDefault="00CD7EC4" w:rsidP="0095459A">
            <w:pPr>
              <w:spacing w:after="0"/>
              <w:rPr>
                <w:rFonts w:ascii="Times New Roman" w:hAnsi="Times New Roman"/>
                <w:sz w:val="26"/>
                <w:szCs w:val="26"/>
                <w:lang w:val="uk-UA"/>
              </w:rPr>
            </w:pPr>
            <w:r w:rsidRPr="00CB02DA">
              <w:rPr>
                <w:rFonts w:ascii="Times New Roman" w:hAnsi="Times New Roman"/>
                <w:sz w:val="26"/>
                <w:szCs w:val="26"/>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134"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9,0</w:t>
            </w:r>
          </w:p>
        </w:tc>
        <w:tc>
          <w:tcPr>
            <w:tcW w:w="1176"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8,4</w:t>
            </w:r>
          </w:p>
        </w:tc>
      </w:tr>
      <w:tr w:rsidR="00CD7EC4" w:rsidRPr="00D43ED1" w:rsidTr="00CB02DA">
        <w:trPr>
          <w:trHeight w:val="20"/>
        </w:trPr>
        <w:tc>
          <w:tcPr>
            <w:tcW w:w="7349" w:type="dxa"/>
            <w:gridSpan w:val="2"/>
          </w:tcPr>
          <w:p w:rsidR="00CD7EC4" w:rsidRPr="00CB02DA" w:rsidRDefault="00CD7EC4" w:rsidP="00CB02DA">
            <w:pPr>
              <w:spacing w:after="0"/>
              <w:jc w:val="right"/>
              <w:rPr>
                <w:rFonts w:ascii="Times New Roman" w:hAnsi="Times New Roman"/>
                <w:b/>
                <w:sz w:val="26"/>
                <w:szCs w:val="26"/>
                <w:lang w:val="uk-UA"/>
              </w:rPr>
            </w:pPr>
            <w:r w:rsidRPr="00CB02DA">
              <w:rPr>
                <w:rFonts w:ascii="Times New Roman" w:hAnsi="Times New Roman"/>
                <w:b/>
                <w:sz w:val="26"/>
                <w:szCs w:val="26"/>
                <w:lang w:val="uk-UA"/>
              </w:rPr>
              <w:t>Усього доходів</w:t>
            </w:r>
            <w:r>
              <w:rPr>
                <w:rFonts w:ascii="Times New Roman" w:hAnsi="Times New Roman"/>
                <w:b/>
                <w:sz w:val="26"/>
                <w:szCs w:val="26"/>
                <w:lang w:val="uk-UA"/>
              </w:rPr>
              <w:t xml:space="preserve"> (</w:t>
            </w:r>
            <w:r w:rsidRPr="00CB02DA">
              <w:rPr>
                <w:rFonts w:ascii="Times New Roman" w:hAnsi="Times New Roman"/>
                <w:b/>
                <w:sz w:val="26"/>
                <w:szCs w:val="26"/>
                <w:lang w:val="uk-UA"/>
              </w:rPr>
              <w:t>код рядка 1210)</w:t>
            </w:r>
          </w:p>
        </w:tc>
        <w:tc>
          <w:tcPr>
            <w:tcW w:w="1134"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460,0</w:t>
            </w:r>
          </w:p>
        </w:tc>
        <w:tc>
          <w:tcPr>
            <w:tcW w:w="1176"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311,9</w:t>
            </w:r>
          </w:p>
        </w:tc>
      </w:tr>
    </w:tbl>
    <w:p w:rsidR="00CD7EC4" w:rsidRPr="00D43ED1" w:rsidRDefault="00CD7EC4" w:rsidP="0095459A">
      <w:pPr>
        <w:shd w:val="clear" w:color="auto" w:fill="FFFFFF"/>
        <w:spacing w:after="0"/>
        <w:ind w:firstLine="708"/>
        <w:textAlignment w:val="baseline"/>
        <w:rPr>
          <w:rFonts w:ascii="Times New Roman" w:hAnsi="Times New Roman"/>
          <w:sz w:val="16"/>
          <w:szCs w:val="16"/>
          <w:lang w:val="uk-UA"/>
        </w:rPr>
      </w:pPr>
    </w:p>
    <w:p w:rsidR="00CD7EC4" w:rsidRPr="00CB02DA" w:rsidRDefault="00CD7EC4" w:rsidP="00CB02DA">
      <w:pPr>
        <w:shd w:val="clear" w:color="auto" w:fill="FFFFFF"/>
        <w:spacing w:after="0"/>
        <w:ind w:firstLine="708"/>
        <w:jc w:val="both"/>
        <w:textAlignment w:val="baseline"/>
        <w:rPr>
          <w:rFonts w:ascii="Times New Roman" w:hAnsi="Times New Roman"/>
          <w:sz w:val="28"/>
          <w:szCs w:val="28"/>
          <w:lang w:val="uk-UA"/>
        </w:rPr>
      </w:pPr>
      <w:r w:rsidRPr="00CB02DA">
        <w:rPr>
          <w:rFonts w:ascii="Times New Roman" w:hAnsi="Times New Roman"/>
          <w:sz w:val="28"/>
          <w:szCs w:val="28"/>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p w:rsidR="00CD7EC4" w:rsidRPr="0008481E" w:rsidRDefault="00CD7EC4" w:rsidP="0095459A">
      <w:pPr>
        <w:shd w:val="clear" w:color="auto" w:fill="FFFFFF"/>
        <w:spacing w:after="0"/>
        <w:ind w:firstLine="708"/>
        <w:textAlignment w:val="baseline"/>
        <w:rPr>
          <w:rFonts w:ascii="Times New Roman" w:hAnsi="Times New Roman"/>
          <w:sz w:val="16"/>
          <w:szCs w:val="16"/>
          <w:lang w:val="uk-UA"/>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
        <w:gridCol w:w="3488"/>
        <w:gridCol w:w="2603"/>
        <w:gridCol w:w="2687"/>
      </w:tblGrid>
      <w:tr w:rsidR="00CD7EC4" w:rsidRPr="00D43ED1" w:rsidTr="00CB02DA">
        <w:trPr>
          <w:trHeight w:val="20"/>
        </w:trPr>
        <w:tc>
          <w:tcPr>
            <w:tcW w:w="908" w:type="dxa"/>
          </w:tcPr>
          <w:p w:rsidR="00CD7EC4"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 xml:space="preserve">№ </w:t>
            </w:r>
          </w:p>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з/п</w:t>
            </w:r>
          </w:p>
        </w:tc>
        <w:tc>
          <w:tcPr>
            <w:tcW w:w="3488"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Стаття витрат</w:t>
            </w:r>
          </w:p>
        </w:tc>
        <w:tc>
          <w:tcPr>
            <w:tcW w:w="2603" w:type="dxa"/>
          </w:tcPr>
          <w:p w:rsidR="00CD7EC4"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 xml:space="preserve">План І півріччя </w:t>
            </w:r>
          </w:p>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2019 року</w:t>
            </w:r>
          </w:p>
        </w:tc>
        <w:tc>
          <w:tcPr>
            <w:tcW w:w="2687" w:type="dxa"/>
          </w:tcPr>
          <w:p w:rsidR="00CD7EC4"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 xml:space="preserve">Факт І півріччя </w:t>
            </w:r>
          </w:p>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2019 року</w:t>
            </w:r>
          </w:p>
        </w:tc>
      </w:tr>
      <w:tr w:rsidR="00CD7EC4" w:rsidRPr="00D43ED1" w:rsidTr="00CB02DA">
        <w:trPr>
          <w:trHeight w:val="20"/>
        </w:trPr>
        <w:tc>
          <w:tcPr>
            <w:tcW w:w="908" w:type="dxa"/>
          </w:tcPr>
          <w:p w:rsidR="00CD7EC4" w:rsidRPr="00CB02DA" w:rsidRDefault="00CD7EC4" w:rsidP="0095459A">
            <w:pPr>
              <w:spacing w:after="0"/>
              <w:rPr>
                <w:rFonts w:ascii="Times New Roman" w:hAnsi="Times New Roman"/>
                <w:sz w:val="26"/>
                <w:szCs w:val="26"/>
                <w:lang w:val="uk-UA"/>
              </w:rPr>
            </w:pPr>
          </w:p>
        </w:tc>
        <w:tc>
          <w:tcPr>
            <w:tcW w:w="3488" w:type="dxa"/>
          </w:tcPr>
          <w:p w:rsidR="00CD7EC4" w:rsidRPr="00CB02DA" w:rsidRDefault="00CD7EC4" w:rsidP="0095459A">
            <w:pPr>
              <w:tabs>
                <w:tab w:val="left" w:pos="709"/>
              </w:tabs>
              <w:spacing w:after="0"/>
              <w:jc w:val="both"/>
              <w:rPr>
                <w:rFonts w:ascii="Times New Roman" w:hAnsi="Times New Roman"/>
                <w:sz w:val="26"/>
                <w:szCs w:val="26"/>
                <w:lang w:val="uk-UA"/>
              </w:rPr>
            </w:pPr>
            <w:r w:rsidRPr="00CB02DA">
              <w:rPr>
                <w:rFonts w:ascii="Times New Roman" w:hAnsi="Times New Roman"/>
                <w:sz w:val="26"/>
                <w:szCs w:val="26"/>
                <w:lang w:val="uk-UA"/>
              </w:rPr>
              <w:t>Адміністративні витрати</w:t>
            </w:r>
          </w:p>
        </w:tc>
        <w:tc>
          <w:tcPr>
            <w:tcW w:w="2603"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460,0</w:t>
            </w:r>
          </w:p>
        </w:tc>
        <w:tc>
          <w:tcPr>
            <w:tcW w:w="2687" w:type="dxa"/>
          </w:tcPr>
          <w:p w:rsidR="00CD7EC4" w:rsidRPr="00CB02DA" w:rsidRDefault="00CD7EC4" w:rsidP="0095459A">
            <w:pPr>
              <w:spacing w:after="0"/>
              <w:jc w:val="center"/>
              <w:rPr>
                <w:rFonts w:ascii="Times New Roman" w:hAnsi="Times New Roman"/>
                <w:sz w:val="26"/>
                <w:szCs w:val="26"/>
                <w:lang w:val="uk-UA"/>
              </w:rPr>
            </w:pPr>
            <w:r w:rsidRPr="00CB02DA">
              <w:rPr>
                <w:rFonts w:ascii="Times New Roman" w:hAnsi="Times New Roman"/>
                <w:sz w:val="26"/>
                <w:szCs w:val="26"/>
                <w:lang w:val="uk-UA"/>
              </w:rPr>
              <w:t>311,9</w:t>
            </w:r>
          </w:p>
        </w:tc>
      </w:tr>
    </w:tbl>
    <w:p w:rsidR="00CD7EC4" w:rsidRPr="00D43ED1" w:rsidRDefault="00CD7EC4" w:rsidP="0095459A">
      <w:pPr>
        <w:pStyle w:val="NormalWeb"/>
        <w:widowControl w:val="0"/>
        <w:shd w:val="clear" w:color="auto" w:fill="FFFFFF"/>
        <w:spacing w:before="0" w:beforeAutospacing="0" w:after="0" w:afterAutospacing="0"/>
        <w:ind w:firstLine="708"/>
        <w:jc w:val="both"/>
        <w:rPr>
          <w:sz w:val="16"/>
          <w:szCs w:val="16"/>
          <w:lang w:val="uk-UA"/>
        </w:rPr>
      </w:pPr>
    </w:p>
    <w:p w:rsidR="00CD7EC4" w:rsidRPr="00CB02DA" w:rsidRDefault="00CD7EC4" w:rsidP="0095459A">
      <w:pPr>
        <w:pStyle w:val="NormalWeb"/>
        <w:widowControl w:val="0"/>
        <w:shd w:val="clear" w:color="auto" w:fill="FFFFFF"/>
        <w:spacing w:before="0" w:beforeAutospacing="0" w:after="0" w:afterAutospacing="0"/>
        <w:ind w:firstLine="708"/>
        <w:jc w:val="both"/>
        <w:rPr>
          <w:sz w:val="28"/>
          <w:szCs w:val="28"/>
          <w:lang w:val="uk-UA"/>
        </w:rPr>
      </w:pPr>
      <w:r w:rsidRPr="00CB02DA">
        <w:rPr>
          <w:sz w:val="28"/>
          <w:szCs w:val="28"/>
          <w:lang w:val="uk-UA"/>
        </w:rPr>
        <w:t>Діяльність підприємства спрямована на забезпечення поетапного та якісного виконання пріоритетних завдань та заходів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 та активного залучення додаткових позабюджетних ресурсів.</w:t>
      </w:r>
    </w:p>
    <w:p w:rsidR="00CD7EC4" w:rsidRPr="00CB02DA" w:rsidRDefault="00CD7EC4" w:rsidP="007670FD">
      <w:pPr>
        <w:spacing w:after="0"/>
        <w:rPr>
          <w:rFonts w:ascii="Times New Roman" w:hAnsi="Times New Roman"/>
          <w:sz w:val="28"/>
          <w:szCs w:val="28"/>
          <w:lang w:val="uk-UA"/>
        </w:rPr>
      </w:pPr>
    </w:p>
    <w:p w:rsidR="00CD7EC4" w:rsidRPr="00CB02DA" w:rsidRDefault="00CD7EC4" w:rsidP="007670FD">
      <w:pPr>
        <w:spacing w:after="0"/>
        <w:rPr>
          <w:rFonts w:ascii="Times New Roman" w:hAnsi="Times New Roman"/>
          <w:sz w:val="28"/>
          <w:szCs w:val="28"/>
          <w:lang w:val="uk-UA"/>
        </w:rPr>
      </w:pPr>
      <w:r w:rsidRPr="00CB02DA">
        <w:rPr>
          <w:rFonts w:ascii="Times New Roman" w:hAnsi="Times New Roman"/>
          <w:sz w:val="28"/>
          <w:szCs w:val="28"/>
          <w:lang w:val="uk-UA"/>
        </w:rPr>
        <w:t>Директор</w:t>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r>
      <w:r w:rsidRPr="00CB02DA">
        <w:rPr>
          <w:rFonts w:ascii="Times New Roman" w:hAnsi="Times New Roman"/>
          <w:sz w:val="28"/>
          <w:szCs w:val="28"/>
          <w:lang w:val="uk-UA"/>
        </w:rPr>
        <w:tab/>
        <w:t>Костянтин Кирилюк</w:t>
      </w:r>
    </w:p>
    <w:sectPr w:rsidR="00CD7EC4" w:rsidRPr="00CB02DA" w:rsidSect="00CB02D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08481E"/>
    <w:rsid w:val="000975B2"/>
    <w:rsid w:val="00167FCA"/>
    <w:rsid w:val="001951D3"/>
    <w:rsid w:val="001C37CF"/>
    <w:rsid w:val="001E53DD"/>
    <w:rsid w:val="002C5C29"/>
    <w:rsid w:val="00380C5D"/>
    <w:rsid w:val="003D6F03"/>
    <w:rsid w:val="00493C4D"/>
    <w:rsid w:val="004C58D5"/>
    <w:rsid w:val="00546D9E"/>
    <w:rsid w:val="005761E9"/>
    <w:rsid w:val="005B76B4"/>
    <w:rsid w:val="005E096E"/>
    <w:rsid w:val="005F3682"/>
    <w:rsid w:val="006414A9"/>
    <w:rsid w:val="00682A74"/>
    <w:rsid w:val="0068326F"/>
    <w:rsid w:val="006A6615"/>
    <w:rsid w:val="006C2AAC"/>
    <w:rsid w:val="006F0BA1"/>
    <w:rsid w:val="00753F1C"/>
    <w:rsid w:val="007670FD"/>
    <w:rsid w:val="00844D37"/>
    <w:rsid w:val="0095459A"/>
    <w:rsid w:val="0098048D"/>
    <w:rsid w:val="00991E1C"/>
    <w:rsid w:val="009F26A9"/>
    <w:rsid w:val="00AA2105"/>
    <w:rsid w:val="00AF5FEA"/>
    <w:rsid w:val="00B11EE1"/>
    <w:rsid w:val="00B60D1D"/>
    <w:rsid w:val="00C22F3D"/>
    <w:rsid w:val="00C253DB"/>
    <w:rsid w:val="00C50E56"/>
    <w:rsid w:val="00CB02DA"/>
    <w:rsid w:val="00CB669C"/>
    <w:rsid w:val="00CD7EC4"/>
    <w:rsid w:val="00D43ED1"/>
    <w:rsid w:val="00D84B4F"/>
    <w:rsid w:val="00DA5341"/>
    <w:rsid w:val="00DF1A00"/>
    <w:rsid w:val="00E550CF"/>
    <w:rsid w:val="00E90C10"/>
    <w:rsid w:val="00EA5D9D"/>
    <w:rsid w:val="00EC489B"/>
    <w:rsid w:val="00F31DB5"/>
    <w:rsid w:val="00F479A7"/>
    <w:rsid w:val="00FA02E8"/>
    <w:rsid w:val="00FA61C6"/>
    <w:rsid w:val="00FB01D7"/>
    <w:rsid w:val="00FB3D36"/>
    <w:rsid w:val="00FD7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bC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8"/>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szCs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153375733">
      <w:marLeft w:val="0"/>
      <w:marRight w:val="0"/>
      <w:marTop w:val="0"/>
      <w:marBottom w:val="0"/>
      <w:divBdr>
        <w:top w:val="none" w:sz="0" w:space="0" w:color="auto"/>
        <w:left w:val="none" w:sz="0" w:space="0" w:color="auto"/>
        <w:bottom w:val="none" w:sz="0" w:space="0" w:color="auto"/>
        <w:right w:val="none" w:sz="0" w:space="0" w:color="auto"/>
      </w:divBdr>
    </w:div>
    <w:div w:id="1153375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312</TotalTime>
  <Pages>1</Pages>
  <Words>328</Words>
  <Characters>1870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Таня</cp:lastModifiedBy>
  <cp:revision>25</cp:revision>
  <dcterms:created xsi:type="dcterms:W3CDTF">2018-11-02T13:00:00Z</dcterms:created>
  <dcterms:modified xsi:type="dcterms:W3CDTF">2019-08-21T11:59:00Z</dcterms:modified>
</cp:coreProperties>
</file>